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8</w:t>
      </w:r>
    </w:p>
    <w:p>
      <w:r>
        <w:t>Bundesgericht (BGE), 1999-11-01, DE</w:t>
      </w:r>
    </w:p>
    <w:p>
      <w:r>
        <w:rPr>
          <w:b/>
        </w:rPr>
        <w:t xml:space="preserve">Quelle: </w:t>
      </w:r>
      <w:r>
        <w:t>https://mcp.opencaselaw.ch/entscheid/bge_126 III 8</w:t>
      </w:r>
    </w:p>
    <w:p>
      <w:r>
        <w:t>FR: ATF 126 III 8</w:t>
      </w:r>
    </w:p>
    <w:p>
      <w:r>
        <w:t>IT: DTF 126 III 8</w:t>
      </w:r>
    </w:p>
    <w:p>
      <w:pPr>
        <w:pStyle w:val="Heading2"/>
      </w:pPr>
      <w:r>
        <w:t>Regeste</w:t>
      </w:r>
    </w:p>
    <w:p>
      <w:r>
        <w:t>Regeste Unterhalt im Rahmen von vorsorglichen Massnahmen nach Art. 145 ZGB; Aufteilung des Überschusses nach Abzug des Zwangsbedarfs beider Ehegatten von ihrem Gesamteinkommen. Bleibt nach Abzug des Zwangsbedarfs der Haushalte beider Ehegatten von deren Gesamteinkommen ein Überschuss, so ist dieser lediglich dann jedem Ehegatten zur Hälfte gutzuschreiben, wenn sich zwei Einpersonenenhaushalte gegenüberstehen. Eine Aufteilung nach Hälften rechtfertigt sich nicht, wenn ein Ehegatte für minderjährige Kinder aufzukommen hat (Präzisierung der Rechtsprechung; E. 3c).</w:t>
      </w:r>
    </w:p>
    <w:p>
      <w:pPr>
        <w:pStyle w:val="Heading2"/>
      </w:pPr>
      <w:r>
        <w:t>Erwägungen</w:t>
      </w:r>
    </w:p>
    <w:p>
      <w:r>
        <w:rPr>
          <w:b/>
        </w:rPr>
        <w:t>E. 3</w:t>
      </w:r>
    </w:p>
    <w:p>
      <w:r>
        <w:t>c) Die kantonalen Instanzen haben nicht vorab den Beitrag an den Unterhalt der Kinder gemäss den Kriterien des Art. 285 ZGB festgesetzt und erst in einem zweiten Schritt jenen für die Ehefrau bestimmt. Vielmehr wurde ein Gesamtunterhalt ermittelt und in der Folge auf Frau und Kinder aufgeteilt. Dabei haben sie die erweiterten Existenzminima der beiden Haushalte errechnet, alsdann die Minima vom berücksichtigten Einkommen des Beschwerdegegners abgezogen und anschliessend den verbleibenden Betrag beiden Haushalten je zur Hälfte gutgeschrieben. Die Beschwerdeführerin beanstandet in diesem Zusammenhang zu Recht als willkürlich, dass die Aufteilung des Freibetrages streng nach Hälften vorgenommen und damit dem Umstand nicht Rechnung getragen worden sei, dass sich nicht zwei Einpersonenhaushalte gegenüberstehen. Die kantonalen Instanzen haben nicht begründet, weshalb auch im vorliegenden Fall der Nettoüberschuss hälftig aufzuteilen ist. Dies dürfte wohl daher rühren, dass die bundesgerichtliche Rechtsprechung jeweils kantonale Entscheide als willkürlich betrachtet hat, welche ohne nähere Begründung eine andere als die hälftige Aufteilung des Überschusses in Betracht gezogen haben (vgl. BGE 111 II 103 ; BGE 114 II 26 E. 7; BGE 115 II 424 E. 3 und BGE 119 II 314 E. 4b/dd). Bei diesen Entscheiden fällt indessen auf, dass die Ehen entweder kinderlos waren ( BGE 114 II 26 ; BGE 115 II 424 und BGE 119 II 314 ) oder aber die Eltern für den Unterhalt der Kinder nicht mehr aufzukommen hatten ( BGE 111 II 103 ), womit sich im Ergebnis bei der Aufteilung des Freibetrages zwei Einpersonenhaushalte gegenüberstanden; dass sich die hälftige Aufteilung unter solchen Umständen ohne weiteres aufdrängt und somit keiner näheren Begründung BGE 126 III 8 S. 10 bedarf, versteht sich von selbst. In der Lehre wird indessen dafürgehalten, dass die hälftige Aufteilung des Überschusses zu unhaltbaren Ergebnissen führe, wenn eine Partei - wie im konkreten Fall - mit dem Unterhaltsbeitrag auch die Kosten für die Kinder begleichen müsse (GEISER, Neuere Tendenzen in der Rechtsprechung zu den familienrechtlichen Unterhaltspflichten, AJP 1993 S. 907; LÜCHINGER/GEISER, Basler Kommentar, N. 17 zu Art. 145 ZGB ). Begründet wird eine verschiedene Aufteilung des Freibetrages damit, dass auch die Kinder an der höheren Lebenshaltung der Parteien teilhaben sollen. Dem angefochtenen Entscheid ist nicht zu entnehmen, weshalb dem Umstand nicht Rechnung getragen wurde, dass sich nicht zwei gleichartige Haushalte, sondern auf der einen Seite jener der Beschwerdeführerin und der drei minderjährigen Kinder, auf der anderen hingegen der Einpersonenhaushalt des Beschwerdegegners gegenüberstehen. Damit aber hat das Obergericht ohne erkennbaren Grund einem wesentlichen Kriterium, das bei der Aufteilung des Freibetrages hätte berücksichtigt werden müssen, keine Beachtung geschenkt und folglich sein Ermessen überschritten ( BGE 109 Ia 107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